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67" w:rsidRPr="00A1272F" w:rsidRDefault="00676C36" w:rsidP="00A1272F">
      <w:pPr>
        <w:jc w:val="center"/>
        <w:rPr>
          <w:rFonts w:ascii="Times New Roman" w:hAnsi="Times New Roman" w:cs="Times New Roman"/>
          <w:sz w:val="32"/>
          <w:szCs w:val="32"/>
        </w:rPr>
      </w:pPr>
      <w:r w:rsidRPr="00A1272F">
        <w:rPr>
          <w:rFonts w:ascii="Times New Roman" w:hAnsi="Times New Roman" w:cs="Times New Roman"/>
          <w:b/>
          <w:sz w:val="32"/>
          <w:szCs w:val="32"/>
        </w:rPr>
        <w:t xml:space="preserve">Erläuterungen zur Anlegung einer neuen </w:t>
      </w:r>
      <w:r w:rsidR="00A1272F" w:rsidRPr="00A1272F">
        <w:rPr>
          <w:rFonts w:ascii="Times New Roman" w:hAnsi="Times New Roman" w:cs="Times New Roman"/>
          <w:b/>
          <w:sz w:val="32"/>
          <w:szCs w:val="32"/>
        </w:rPr>
        <w:t>Folgekalkulation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6"/>
        <w:gridCol w:w="7567"/>
      </w:tblGrid>
      <w:tr w:rsidR="0088585B" w:rsidRPr="0075333D" w:rsidTr="0055314B">
        <w:tc>
          <w:tcPr>
            <w:tcW w:w="9853" w:type="dxa"/>
            <w:gridSpan w:val="2"/>
          </w:tcPr>
          <w:p w:rsidR="0088585B" w:rsidRPr="0075333D" w:rsidRDefault="0088585B" w:rsidP="0088585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Allgemeine Ausführungen</w:t>
            </w:r>
          </w:p>
        </w:tc>
      </w:tr>
      <w:tr w:rsidR="0088585B" w:rsidTr="001F2561">
        <w:tc>
          <w:tcPr>
            <w:tcW w:w="9853" w:type="dxa"/>
            <w:gridSpan w:val="2"/>
          </w:tcPr>
          <w:p w:rsidR="0088585B" w:rsidRDefault="0088585B" w:rsidP="00926B1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 wird empfohlen, nachdem  eine neu</w:t>
            </w:r>
            <w:r w:rsidR="000C0D7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Kalkulation für einen Berechnungszeitraum 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 xml:space="preserve">erstellt worden </w:t>
            </w:r>
            <w:r w:rsidR="00926B1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st, gleich die Folgekalkulation  anzulegen. </w:t>
            </w:r>
          </w:p>
          <w:p w:rsidR="004C51FE" w:rsidRDefault="004C51FE" w:rsidP="004C5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Hierbei ist wie folgt vorzugehen:</w:t>
            </w:r>
          </w:p>
          <w:p w:rsidR="004C51FE" w:rsidRDefault="004C51FE" w:rsidP="0088455A">
            <w:pPr>
              <w:pStyle w:val="Listenabsatz"/>
              <w:numPr>
                <w:ilvl w:val="0"/>
                <w:numId w:val="12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7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Die </w:t>
            </w:r>
            <w:r w:rsidR="005E14C6">
              <w:rPr>
                <w:rFonts w:ascii="Times New Roman" w:hAnsi="Times New Roman" w:cs="Times New Roman"/>
                <w:sz w:val="28"/>
                <w:szCs w:val="28"/>
              </w:rPr>
              <w:t xml:space="preserve">neu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erstellte Kalkulation  ist unter eine</w:t>
            </w:r>
            <w:r w:rsidR="00926B1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neuen Namen abzuspeichern.</w:t>
            </w:r>
          </w:p>
          <w:p w:rsidR="0088455A" w:rsidRDefault="0088455A" w:rsidP="0088455A">
            <w:pPr>
              <w:pStyle w:val="Listenabsatz"/>
              <w:numPr>
                <w:ilvl w:val="0"/>
                <w:numId w:val="12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Bevor an der Datei weitere Änderungen vorgenommen werden; sind zuerst die Überdeckungen /Unterdeckungen aus den Vorjahren  vorzutragen </w:t>
            </w:r>
            <w:r w:rsidR="005E14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Werden nämlich vorher Daten geändert, die sich auf die Berechnung auswirken, ändern sich auch die vorzutragenden Über-/Unterdeckungen. </w:t>
            </w:r>
            <w:r w:rsidR="003037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Sollten trotzdem vor dem Vortrag der Über-/Unterdeckungen Änderungen erfolgt sein, so können die vorzutragenden Über-/Unterdeckungen der vorhergehenden Kalkulation entno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men werden.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Beim Vortrag der Über-/Unterdeckungen ist wie folgt vorzugehen:</w:t>
            </w:r>
          </w:p>
          <w:p w:rsidR="0088455A" w:rsidRPr="0088455A" w:rsidRDefault="0088455A" w:rsidP="005E14C6">
            <w:pPr>
              <w:pStyle w:val="Listenabsatz"/>
              <w:numPr>
                <w:ilvl w:val="1"/>
                <w:numId w:val="12"/>
              </w:numPr>
              <w:spacing w:after="120"/>
              <w:ind w:left="70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55A">
              <w:rPr>
                <w:rFonts w:ascii="Times New Roman" w:hAnsi="Times New Roman" w:cs="Times New Roman"/>
                <w:b/>
                <w:sz w:val="28"/>
                <w:szCs w:val="28"/>
              </w:rPr>
              <w:t>Bei der Datei Wassergebührenkalkulation</w:t>
            </w:r>
            <w:r w:rsidR="008D1C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>Unter</w:t>
            </w:r>
            <w:proofErr w:type="spellEnd"/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C8E" w:rsidRPr="004C5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Ziff. </w:t>
            </w:r>
            <w:r w:rsidR="004061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sind die in den blauen Zellen ausgewiesenen Überdeckungen bzw. Unterdeckungen wie folgt in die orangen Zellen in der 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folgenden  Re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henfolge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zu übernehmen</w:t>
            </w:r>
            <w:r w:rsidR="008D1C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455A" w:rsidRDefault="0088455A" w:rsidP="005E14C6">
            <w:pPr>
              <w:pStyle w:val="Listenabsatz"/>
              <w:numPr>
                <w:ilvl w:val="2"/>
                <w:numId w:val="12"/>
              </w:numPr>
              <w:spacing w:after="120"/>
              <w:ind w:left="120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Die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.4 vorgetragene  Überdeckung bzw. Unterdeckung(-) ist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>.2 in Spalte D (=gelbes Feld) zu übernehmen (bei Unterd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8D1C8E" w:rsidRPr="008A7824">
              <w:rPr>
                <w:rFonts w:ascii="Times New Roman" w:hAnsi="Times New Roman" w:cs="Times New Roman"/>
                <w:sz w:val="28"/>
                <w:szCs w:val="28"/>
              </w:rPr>
              <w:t>ckung mit Minuszeichen)</w:t>
            </w:r>
            <w:r w:rsidR="008D1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1C8E" w:rsidRPr="008A7824" w:rsidRDefault="008D1C8E" w:rsidP="005E14C6">
            <w:pPr>
              <w:pStyle w:val="Listenabsatz"/>
              <w:numPr>
                <w:ilvl w:val="2"/>
                <w:numId w:val="12"/>
              </w:numPr>
              <w:spacing w:after="120"/>
              <w:ind w:left="120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.5 in den Spalten I, J, K und L vorgetragenen Überd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ckungen bzw. Unterdeckungen(-) sind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.3 in die Spalten E, F, G und H (=gelbe Felder) zu übernehmen (bei Unterdeckungen mit Minusze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chen)</w:t>
            </w:r>
          </w:p>
          <w:p w:rsidR="0088455A" w:rsidRPr="008D1C8E" w:rsidRDefault="0088455A" w:rsidP="005E14C6">
            <w:pPr>
              <w:pStyle w:val="Listenabsatz"/>
              <w:numPr>
                <w:ilvl w:val="1"/>
                <w:numId w:val="12"/>
              </w:numPr>
              <w:spacing w:after="120"/>
              <w:ind w:left="70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1C8E" w:rsidRPr="008845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Bei der Datei </w:t>
            </w:r>
            <w:r w:rsidR="008D1C8E">
              <w:rPr>
                <w:rFonts w:ascii="Times New Roman" w:hAnsi="Times New Roman" w:cs="Times New Roman"/>
                <w:b/>
                <w:sz w:val="28"/>
                <w:szCs w:val="28"/>
              </w:rPr>
              <w:t>Abw</w:t>
            </w:r>
            <w:r w:rsidR="008D1C8E" w:rsidRPr="0088455A">
              <w:rPr>
                <w:rFonts w:ascii="Times New Roman" w:hAnsi="Times New Roman" w:cs="Times New Roman"/>
                <w:b/>
                <w:sz w:val="28"/>
                <w:szCs w:val="28"/>
              </w:rPr>
              <w:t>assergebührenkalkulation</w:t>
            </w:r>
            <w:r w:rsidR="008D1C8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="008D1C8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>nter</w:t>
            </w:r>
            <w:proofErr w:type="spellEnd"/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C8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Ziff. </w:t>
            </w:r>
            <w:r w:rsidR="004061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D1C8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>sind</w:t>
            </w:r>
            <w:r w:rsidR="008D1C8E" w:rsidRPr="00BB4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C8E">
              <w:rPr>
                <w:rFonts w:ascii="Times New Roman" w:hAnsi="Times New Roman" w:cs="Times New Roman"/>
                <w:sz w:val="28"/>
                <w:szCs w:val="28"/>
              </w:rPr>
              <w:t xml:space="preserve">die in den blauen Zellen </w:t>
            </w:r>
            <w:r w:rsidR="008D1C8E" w:rsidRPr="00BB4E3D">
              <w:rPr>
                <w:rFonts w:ascii="Times New Roman" w:hAnsi="Times New Roman" w:cs="Times New Roman"/>
                <w:sz w:val="28"/>
                <w:szCs w:val="28"/>
              </w:rPr>
              <w:t>ausgewiesenen</w:t>
            </w:r>
            <w:r w:rsidR="008D1C8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Überdeckungen bzw. Unterdeckungen</w:t>
            </w:r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wie folgt in die</w:t>
            </w:r>
            <w:r w:rsidR="008D1C8E">
              <w:rPr>
                <w:rFonts w:ascii="Times New Roman" w:hAnsi="Times New Roman" w:cs="Times New Roman"/>
                <w:sz w:val="28"/>
                <w:szCs w:val="28"/>
              </w:rPr>
              <w:t xml:space="preserve"> orangen Zellen</w:t>
            </w:r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in der 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folgenden Re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D1C8E" w:rsidRPr="004B647F">
              <w:rPr>
                <w:rFonts w:ascii="Times New Roman" w:hAnsi="Times New Roman" w:cs="Times New Roman"/>
                <w:b/>
                <w:sz w:val="28"/>
                <w:szCs w:val="28"/>
              </w:rPr>
              <w:t>henfolge</w:t>
            </w:r>
            <w:r w:rsidR="008D1C8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zu übernehmen</w:t>
            </w:r>
            <w:r w:rsidR="008D1C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3746" w:rsidRDefault="00303746" w:rsidP="00303746">
            <w:pPr>
              <w:pStyle w:val="Listenabsatz"/>
              <w:numPr>
                <w:ilvl w:val="2"/>
                <w:numId w:val="12"/>
              </w:numPr>
              <w:spacing w:after="120"/>
              <w:ind w:left="120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Bei der Berechnung  </w:t>
            </w:r>
            <w:r w:rsidRPr="005C6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gesplitteter Abwassergebühren </w:t>
            </w:r>
            <w:r w:rsidRPr="005C6B4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(falls gesplittete Gebühren </w:t>
            </w:r>
            <w:r w:rsidRPr="00994FAD">
              <w:rPr>
                <w:rFonts w:ascii="Times New Roman" w:hAnsi="Times New Roman" w:cs="Times New Roman"/>
                <w:b/>
                <w:sz w:val="28"/>
                <w:szCs w:val="28"/>
              </w:rPr>
              <w:t>nicht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berechnet werden, sind hier keine Eintr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ge vorzunehmen)</w:t>
            </w:r>
          </w:p>
          <w:p w:rsidR="00303746" w:rsidRDefault="00303746" w:rsidP="0030374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.4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(im blauen Feld)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vorgetragene Überdeckung bzw. Unterdeckung(-) ist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.2 in Spalte D (=gelbes Feld) zu übernehmen (bei Unterdeckungen mit Minuszeichen).</w:t>
            </w:r>
          </w:p>
          <w:p w:rsidR="00303746" w:rsidRDefault="00303746" w:rsidP="0030374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.8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(im blauen Feld)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vorgetragene  Überdeckung bzw. Unterdeckung(-) ist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.6 in Spalte D (=gelbes Feld) zu übernehmen (bei Unterdeckungen mit Minuszeichen)</w:t>
            </w:r>
            <w:r w:rsidR="004633F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03746" w:rsidRDefault="00303746" w:rsidP="0030374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Die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(in blauen Feldern) 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in den Spalten I, J, K und L vorgetragenen Überdeckungen bzw. Unterdeckungen(-) sind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.3 in die Spalten E, F, G und H (=gelbe Felder) zu übernehmen (bei Unterdeckungen mit Minuszeichen)</w:t>
            </w:r>
          </w:p>
          <w:p w:rsidR="00303746" w:rsidRDefault="00303746" w:rsidP="0030374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(in blauen Feldern) 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in den Spalten I, J, K und L vorgetragenen Überdeckungen bzw. Unterdeckungen(-) sind unter Ziff.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.7 in die Spalten E, F, G und H (=gelbe Felder) zu übernehmen (bei Unterdeckungen mit Minuszeichen).</w:t>
            </w:r>
          </w:p>
          <w:p w:rsidR="008D1C8E" w:rsidRDefault="008D1C8E" w:rsidP="005E14C6">
            <w:pPr>
              <w:pStyle w:val="Listenabsatz"/>
              <w:numPr>
                <w:ilvl w:val="2"/>
                <w:numId w:val="12"/>
              </w:numPr>
              <w:spacing w:after="120"/>
              <w:ind w:left="120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Bei der Berechnung </w:t>
            </w:r>
            <w:r w:rsidR="004633F4">
              <w:rPr>
                <w:rFonts w:ascii="Times New Roman" w:hAnsi="Times New Roman" w:cs="Times New Roman"/>
                <w:sz w:val="28"/>
                <w:szCs w:val="28"/>
              </w:rPr>
              <w:t xml:space="preserve">von </w:t>
            </w:r>
            <w:r w:rsidRPr="00C2382C">
              <w:rPr>
                <w:rFonts w:ascii="Times New Roman" w:hAnsi="Times New Roman" w:cs="Times New Roman"/>
                <w:b/>
                <w:sz w:val="28"/>
                <w:szCs w:val="28"/>
              </w:rPr>
              <w:t>Abwassergebühren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82C">
              <w:rPr>
                <w:rFonts w:ascii="Times New Roman" w:hAnsi="Times New Roman" w:cs="Times New Roman"/>
                <w:b/>
                <w:sz w:val="28"/>
                <w:szCs w:val="28"/>
              </w:rPr>
              <w:t>nach dem modifizierten Frischwassermaßstab</w:t>
            </w:r>
            <w:r w:rsidR="005E1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4C6"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(falls </w:t>
            </w:r>
            <w:r w:rsidR="005E14C6" w:rsidRPr="005E14C6">
              <w:rPr>
                <w:rFonts w:ascii="Times New Roman" w:hAnsi="Times New Roman" w:cs="Times New Roman"/>
                <w:b/>
                <w:sz w:val="28"/>
                <w:szCs w:val="28"/>
              </w:rPr>
              <w:t>gesplittete</w:t>
            </w:r>
            <w:r w:rsidR="005E14C6"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Gebühren berechnet we</w:t>
            </w:r>
            <w:r w:rsidR="005E14C6" w:rsidRPr="005C6B4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5E14C6" w:rsidRPr="005C6B4E">
              <w:rPr>
                <w:rFonts w:ascii="Times New Roman" w:hAnsi="Times New Roman" w:cs="Times New Roman"/>
                <w:sz w:val="28"/>
                <w:szCs w:val="28"/>
              </w:rPr>
              <w:t>den, sind hier keine Einträge vorzunehmen)</w:t>
            </w:r>
          </w:p>
          <w:p w:rsidR="008D1C8E" w:rsidRDefault="008D1C8E" w:rsidP="005E14C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(im blauen Feld)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 vorgetragene  Überdeckung bzw. Unterdeckung(-) ist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.2 in Spalte D (=gelbes Feld) zu übernehmen (bei Unterdeckungen mit Minuszeichen)</w:t>
            </w:r>
          </w:p>
          <w:p w:rsidR="008D1C8E" w:rsidRDefault="008D1C8E" w:rsidP="005E14C6">
            <w:pPr>
              <w:pStyle w:val="Listenabsatz"/>
              <w:numPr>
                <w:ilvl w:val="3"/>
                <w:numId w:val="12"/>
              </w:numPr>
              <w:spacing w:after="120"/>
              <w:ind w:left="1664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Die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.5 in den Spalten I, J, K und 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(in blauen Feldern)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 xml:space="preserve">vorgetragenen Überdeckungen bzw. Unterdeckungen(-) sind unter Ziff. </w:t>
            </w:r>
            <w:r w:rsidR="004061A9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.3 in die Spalten E, F, G und H (=gelbe Felder) zu übernehmen (bei Unterdeckungen mit Minuszeichen).</w:t>
            </w:r>
          </w:p>
          <w:p w:rsidR="004C51FE" w:rsidRDefault="006376C4" w:rsidP="0088455A">
            <w:pPr>
              <w:pStyle w:val="Listenabsatz"/>
              <w:numPr>
                <w:ilvl w:val="0"/>
                <w:numId w:val="12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 Blatt </w:t>
            </w:r>
            <w:r w:rsidRPr="006376C4">
              <w:rPr>
                <w:rFonts w:ascii="Times New Roman" w:hAnsi="Times New Roman" w:cs="Times New Roman"/>
                <w:b/>
                <w:sz w:val="28"/>
                <w:szCs w:val="28"/>
              </w:rPr>
              <w:t>„Grunddaten“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ist u</w:t>
            </w:r>
            <w:r w:rsidR="004C51F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nter </w:t>
            </w:r>
            <w:r w:rsidR="004C51F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>Ziff. 1.1</w:t>
            </w:r>
            <w:r w:rsidR="004C51F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der </w:t>
            </w:r>
            <w:r w:rsidR="004C51F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>neue Nachkalkulationszeitraum</w:t>
            </w:r>
            <w:r w:rsidR="004C51F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und unter </w:t>
            </w:r>
            <w:r w:rsidR="004C51F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>Ziff. 1.2</w:t>
            </w:r>
            <w:r w:rsidR="004C51F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ist der </w:t>
            </w:r>
            <w:r w:rsidR="004C51FE" w:rsidRPr="00CC7E18">
              <w:rPr>
                <w:rFonts w:ascii="Times New Roman" w:hAnsi="Times New Roman" w:cs="Times New Roman"/>
                <w:b/>
                <w:sz w:val="28"/>
                <w:szCs w:val="28"/>
              </w:rPr>
              <w:t>neue Vorkalkulationszeitraum</w:t>
            </w:r>
            <w:r w:rsidR="004C51FE" w:rsidRPr="00CC7E18">
              <w:rPr>
                <w:rFonts w:ascii="Times New Roman" w:hAnsi="Times New Roman" w:cs="Times New Roman"/>
                <w:sz w:val="28"/>
                <w:szCs w:val="28"/>
              </w:rPr>
              <w:t xml:space="preserve"> anzugeben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br/>
              <w:t>Hierbei ist darauf zu achten, dass das letzte Nachkalkulationsjahr der vorausg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>gangenen Kalkulation in die Folgekalkulation einbezogen wird. Das letzte Nac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4C51FE">
              <w:rPr>
                <w:rFonts w:ascii="Times New Roman" w:hAnsi="Times New Roman" w:cs="Times New Roman"/>
                <w:sz w:val="28"/>
                <w:szCs w:val="28"/>
              </w:rPr>
              <w:t xml:space="preserve">kalkulationsjahr der vorausgegangenen Kalkulation wird nunmehr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das Nach-Nachkalkulationsjahr.</w:t>
            </w:r>
          </w:p>
          <w:p w:rsidR="00E01DC3" w:rsidRDefault="00D75FE6" w:rsidP="00D75F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01DC3">
              <w:rPr>
                <w:rFonts w:ascii="Times New Roman" w:hAnsi="Times New Roman" w:cs="Times New Roman"/>
                <w:b/>
                <w:sz w:val="28"/>
                <w:szCs w:val="28"/>
              </w:rPr>
              <w:t>Im Grunde genommen</w:t>
            </w:r>
            <w:r w:rsidR="003B2683" w:rsidRPr="00E01D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1DC3">
              <w:rPr>
                <w:rFonts w:ascii="Times New Roman" w:hAnsi="Times New Roman" w:cs="Times New Roman"/>
                <w:b/>
                <w:sz w:val="28"/>
                <w:szCs w:val="28"/>
              </w:rPr>
              <w:t>ist die Folgekalkulation nunmehr erstellt.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6C4" w:rsidRPr="00D75FE6" w:rsidRDefault="00D75FE6" w:rsidP="00D75FE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Die </w:t>
            </w:r>
            <w:r w:rsidR="004B647F">
              <w:rPr>
                <w:rFonts w:ascii="Times New Roman" w:hAnsi="Times New Roman" w:cs="Times New Roman"/>
                <w:sz w:val="28"/>
                <w:szCs w:val="28"/>
              </w:rPr>
              <w:t xml:space="preserve">übrigen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nachfolgend beschriebenen Arbeiten können nach und nach vorgeno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men werden. </w:t>
            </w:r>
          </w:p>
          <w:p w:rsidR="004C51FE" w:rsidRDefault="004C51FE" w:rsidP="004C5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683" w:rsidTr="006125C1">
        <w:tc>
          <w:tcPr>
            <w:tcW w:w="9853" w:type="dxa"/>
            <w:gridSpan w:val="2"/>
          </w:tcPr>
          <w:p w:rsidR="003B2683" w:rsidRPr="003B2683" w:rsidRDefault="003B2683" w:rsidP="003B2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Beschreibung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der Datei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„Wassergebühren“</w:t>
            </w:r>
          </w:p>
        </w:tc>
      </w:tr>
      <w:tr w:rsidR="0075333D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75333D" w:rsidRPr="0075333D" w:rsidRDefault="0075333D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t>Nachkalkulation</w:t>
            </w:r>
          </w:p>
        </w:tc>
        <w:tc>
          <w:tcPr>
            <w:tcW w:w="7567" w:type="dxa"/>
          </w:tcPr>
          <w:p w:rsidR="0075333D" w:rsidRDefault="0075333D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Keine Änderungen vornehmen</w:t>
            </w:r>
          </w:p>
          <w:p w:rsidR="00414275" w:rsidRDefault="0041427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33D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75333D" w:rsidRPr="0075333D" w:rsidRDefault="0075333D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t>Vorkalkulation</w:t>
            </w:r>
          </w:p>
        </w:tc>
        <w:tc>
          <w:tcPr>
            <w:tcW w:w="7567" w:type="dxa"/>
          </w:tcPr>
          <w:p w:rsidR="0075333D" w:rsidRDefault="0075333D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Keine Änderungen vornehmen</w:t>
            </w:r>
          </w:p>
          <w:p w:rsidR="00414275" w:rsidRDefault="0041427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33D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75333D" w:rsidRPr="0075333D" w:rsidRDefault="0075333D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Grunddaten</w:t>
            </w:r>
          </w:p>
        </w:tc>
        <w:tc>
          <w:tcPr>
            <w:tcW w:w="7567" w:type="dxa"/>
          </w:tcPr>
          <w:p w:rsidR="00CC7E18" w:rsidRPr="008A7824" w:rsidRDefault="00CC7E18" w:rsidP="00C175C9">
            <w:pPr>
              <w:pStyle w:val="Listenabsatz"/>
              <w:numPr>
                <w:ilvl w:val="0"/>
                <w:numId w:val="35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Unter </w:t>
            </w:r>
            <w:r w:rsidRPr="008A7824">
              <w:rPr>
                <w:rFonts w:ascii="Times New Roman" w:hAnsi="Times New Roman" w:cs="Times New Roman"/>
                <w:b/>
                <w:sz w:val="28"/>
                <w:szCs w:val="28"/>
              </w:rPr>
              <w:t>Ziff. 2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sind grundsätzlich keine Änderungen </w:t>
            </w:r>
            <w:r w:rsidRPr="00C175C9">
              <w:rPr>
                <w:rFonts w:ascii="Times New Roman" w:hAnsi="Times New Roman" w:cs="Times New Roman"/>
                <w:b/>
                <w:sz w:val="28"/>
                <w:szCs w:val="28"/>
              </w:rPr>
              <w:t>vorz</w:t>
            </w:r>
            <w:r w:rsidRPr="00C175C9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Pr="00C175C9">
              <w:rPr>
                <w:rFonts w:ascii="Times New Roman" w:hAnsi="Times New Roman" w:cs="Times New Roman"/>
                <w:b/>
                <w:sz w:val="28"/>
                <w:szCs w:val="28"/>
              </w:rPr>
              <w:t>nehmen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, es sei denn die Berechnungsweise soll umgestellt werden (Einbezug der Abschreibungen auf Zuwendungen, Abschreibungen aus den Wiederbeschaffungszeitwerten bzw. Umstellung der Berechnungsart).  </w:t>
            </w:r>
          </w:p>
          <w:p w:rsidR="00CC7E18" w:rsidRPr="008A7824" w:rsidRDefault="00CC7E18" w:rsidP="00C175C9">
            <w:pPr>
              <w:pStyle w:val="Listenabsatz"/>
              <w:numPr>
                <w:ilvl w:val="0"/>
                <w:numId w:val="35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Unter Ziff. 3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können die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Zinssätze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geändert werden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C7E18" w:rsidRPr="008A7824" w:rsidRDefault="00CC7E18" w:rsidP="00C175C9">
            <w:pPr>
              <w:pStyle w:val="Listenabsatz"/>
              <w:numPr>
                <w:ilvl w:val="0"/>
                <w:numId w:val="35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Unter Ziff. 4 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>müssen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die voraussichtlichen Wasserve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brauchsmengen für den Vorkalkulationszeitraum 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>erst vor der Erstellung der</w:t>
            </w:r>
            <w:r w:rsidR="0010682D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endgültigen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neuen </w:t>
            </w:r>
            <w:r w:rsidR="0010682D" w:rsidRPr="008A7824">
              <w:rPr>
                <w:rFonts w:ascii="Times New Roman" w:hAnsi="Times New Roman" w:cs="Times New Roman"/>
                <w:sz w:val="28"/>
                <w:szCs w:val="28"/>
              </w:rPr>
              <w:t>Vorausk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alkulation 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>ge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="002A6E1A"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 werden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br/>
              <w:t>Das Gleiche gilt für den Vortrag des Gesamtgebührenau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kommens unter Ziff. 5</w:t>
            </w:r>
          </w:p>
          <w:p w:rsidR="0075333D" w:rsidRDefault="00CC7E18" w:rsidP="00C175C9">
            <w:pPr>
              <w:pStyle w:val="Listenabsatz"/>
              <w:numPr>
                <w:ilvl w:val="0"/>
                <w:numId w:val="35"/>
              </w:numPr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 xml:space="preserve">Unter Ziff.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3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824">
              <w:rPr>
                <w:rFonts w:ascii="Times New Roman" w:hAnsi="Times New Roman" w:cs="Times New Roman"/>
                <w:sz w:val="28"/>
                <w:szCs w:val="28"/>
              </w:rPr>
              <w:t>sind entsprechende Einträge nur vorzunehmen, wenn auf zuwendungsfinanziertes Anlagevermögen oder aus den Wiederbeschaffungswerten abgeschrieben wird.</w:t>
            </w:r>
          </w:p>
          <w:p w:rsidR="00C175C9" w:rsidRPr="00C175C9" w:rsidRDefault="00C175C9" w:rsidP="00C175C9">
            <w:pPr>
              <w:pStyle w:val="Listenabsatz"/>
              <w:spacing w:after="12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F7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Im Blatt</w:t>
            </w:r>
          </w:p>
          <w:p w:rsidR="008E4AF7" w:rsidRPr="0075333D" w:rsidRDefault="008E4AF7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Grundgebuehren</w:t>
            </w:r>
            <w:proofErr w:type="spellEnd"/>
          </w:p>
        </w:tc>
        <w:tc>
          <w:tcPr>
            <w:tcW w:w="7567" w:type="dxa"/>
          </w:tcPr>
          <w:p w:rsidR="008E4AF7" w:rsidRDefault="005F3BD8" w:rsidP="00404A1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Änderungen sind nur dann vorzunehmen, wenn sich die</w:t>
            </w:r>
            <w:r w:rsidR="00265BCC">
              <w:rPr>
                <w:rFonts w:ascii="Times New Roman" w:hAnsi="Times New Roman" w:cs="Times New Roman"/>
                <w:sz w:val="28"/>
                <w:szCs w:val="28"/>
              </w:rPr>
              <w:t xml:space="preserve"> Anzahl der Zähler im neuen </w:t>
            </w:r>
            <w:r w:rsidR="00265BCC" w:rsidRPr="00E03FB1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r w:rsidR="00265BCC">
              <w:rPr>
                <w:rFonts w:ascii="Times New Roman" w:hAnsi="Times New Roman" w:cs="Times New Roman"/>
                <w:sz w:val="28"/>
                <w:szCs w:val="28"/>
              </w:rPr>
              <w:t>kalkulationszeitraum ändert.</w:t>
            </w:r>
          </w:p>
          <w:p w:rsidR="00414275" w:rsidRDefault="0041427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F7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8E4AF7" w:rsidRPr="0075333D" w:rsidRDefault="008E4AF7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Betriebskosten</w:t>
            </w:r>
          </w:p>
        </w:tc>
        <w:tc>
          <w:tcPr>
            <w:tcW w:w="7567" w:type="dxa"/>
          </w:tcPr>
          <w:p w:rsidR="006E362F" w:rsidRPr="008E4AF7" w:rsidRDefault="008E4AF7" w:rsidP="006E362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Im Blatt „Betriebskosten“ wurden mit der Eingabe des neuen Berechnungszeitraumes die Berechnungsjahre automatisch u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gestellt, während die alten Eintragungen (in den orangen Zellen) stehen geblieben sind. 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Es müssen somit die Einnahmen und Ausgaben (orangen Zellen) 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 xml:space="preserve">der einzelnen Jahre gelöscht </w:t>
            </w:r>
            <w:r w:rsidR="004633F4">
              <w:rPr>
                <w:rFonts w:ascii="Times New Roman" w:hAnsi="Times New Roman" w:cs="Times New Roman"/>
                <w:sz w:val="28"/>
                <w:szCs w:val="28"/>
              </w:rPr>
              <w:t>bzw.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 xml:space="preserve"> mit den tatsächlichen Betr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 xml:space="preserve">gen, die sich aus der Jahresrechnung </w:t>
            </w:r>
            <w:r w:rsidR="00FA09D0">
              <w:rPr>
                <w:rFonts w:ascii="Times New Roman" w:hAnsi="Times New Roman" w:cs="Times New Roman"/>
                <w:sz w:val="28"/>
                <w:szCs w:val="28"/>
              </w:rPr>
              <w:t xml:space="preserve">des betreffenden Jahres 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6E362F">
              <w:rPr>
                <w:rFonts w:ascii="Times New Roman" w:hAnsi="Times New Roman" w:cs="Times New Roman"/>
                <w:sz w:val="28"/>
                <w:szCs w:val="28"/>
              </w:rPr>
              <w:t>geben, überschrieben werden.</w:t>
            </w:r>
          </w:p>
          <w:p w:rsidR="008E4AF7" w:rsidRDefault="008E4AF7" w:rsidP="00CC7E1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F7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 den Blättern</w:t>
            </w:r>
          </w:p>
          <w:p w:rsidR="008E4AF7" w:rsidRPr="0075333D" w:rsidRDefault="00ED1CCC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Anlagegueter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Beiträge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Zuwendungen</w:t>
            </w:r>
          </w:p>
        </w:tc>
        <w:tc>
          <w:tcPr>
            <w:tcW w:w="7567" w:type="dxa"/>
          </w:tcPr>
          <w:p w:rsidR="00781787" w:rsidRDefault="00781787" w:rsidP="0078178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der Eingabe des neuen Berechnungszeitraumes werden für die Anlagegüter, Beiträge und Zuwendungen automatisch  die neuen Abschreibungen und neuen Restbeträge für den Nachka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kulations- und Vorkalkulationszeitraum berechnet</w:t>
            </w:r>
            <w:r w:rsidR="00A1272F">
              <w:rPr>
                <w:rFonts w:ascii="Times New Roman" w:hAnsi="Times New Roman" w:cs="Times New Roman"/>
                <w:sz w:val="28"/>
                <w:szCs w:val="28"/>
              </w:rPr>
              <w:t xml:space="preserve"> und  in die Blätter „Nachkalkulation“ und „Vorkalkulation“ übernommen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1787" w:rsidRDefault="00781787" w:rsidP="00781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diesen Blättern sind somit für die Nachkalkulationsjahre nur die </w:t>
            </w:r>
            <w:r w:rsidRPr="00ED1CCC">
              <w:rPr>
                <w:rFonts w:ascii="Times New Roman" w:hAnsi="Times New Roman" w:cs="Times New Roman"/>
                <w:b/>
                <w:sz w:val="28"/>
                <w:szCs w:val="28"/>
              </w:rPr>
              <w:t>neu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angeschafften Anlagegüter, </w:t>
            </w:r>
            <w:r w:rsidRPr="00ED1CCC">
              <w:rPr>
                <w:rFonts w:ascii="Times New Roman" w:hAnsi="Times New Roman" w:cs="Times New Roman"/>
                <w:b/>
                <w:sz w:val="28"/>
                <w:szCs w:val="28"/>
              </w:rPr>
              <w:t>neu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eingegangenen Beiträge und Zuwendungen zu </w:t>
            </w:r>
            <w:r w:rsidRPr="006E362F">
              <w:rPr>
                <w:rFonts w:ascii="Times New Roman" w:hAnsi="Times New Roman" w:cs="Times New Roman"/>
                <w:b/>
                <w:sz w:val="28"/>
                <w:szCs w:val="28"/>
              </w:rPr>
              <w:t>ergänzen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br/>
              <w:t>Ferner sind für den Vorkalkulationszeitraum die Zukunftsinvest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t>tionen, die voraussichtlichen Beiträge und Zuwendungen vorz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136A22">
              <w:rPr>
                <w:rFonts w:ascii="Times New Roman" w:hAnsi="Times New Roman" w:cs="Times New Roman"/>
                <w:sz w:val="28"/>
                <w:szCs w:val="28"/>
              </w:rPr>
              <w:t>tragen.</w:t>
            </w:r>
          </w:p>
          <w:p w:rsidR="00404A14" w:rsidRDefault="00404A14" w:rsidP="0040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F7" w:rsidTr="00C538A3">
        <w:tc>
          <w:tcPr>
            <w:tcW w:w="2286" w:type="dxa"/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8E4AF7" w:rsidRPr="0075333D" w:rsidRDefault="00C538A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Preisindex</w:t>
            </w:r>
          </w:p>
        </w:tc>
        <w:tc>
          <w:tcPr>
            <w:tcW w:w="7567" w:type="dxa"/>
          </w:tcPr>
          <w:p w:rsidR="008E4AF7" w:rsidRDefault="00414275" w:rsidP="0040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 wenn Abschreibungen nach Wiederbeschaffungswerten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mittelt werden, sind </w:t>
            </w:r>
            <w:r w:rsidR="005F3B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jährlich die neuen Indexzahlen zu ergänzen.</w:t>
            </w:r>
          </w:p>
          <w:p w:rsidR="00404A14" w:rsidRDefault="00404A14" w:rsidP="0040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F7" w:rsidTr="005C6B4E">
        <w:tc>
          <w:tcPr>
            <w:tcW w:w="2286" w:type="dxa"/>
            <w:tcBorders>
              <w:bottom w:val="single" w:sz="4" w:space="0" w:color="auto"/>
            </w:tcBorders>
          </w:tcPr>
          <w:p w:rsidR="00E01DC3" w:rsidRDefault="00E01DC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8E4AF7" w:rsidRPr="0075333D" w:rsidRDefault="00C538A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Verzinsung</w:t>
            </w:r>
          </w:p>
        </w:tc>
        <w:tc>
          <w:tcPr>
            <w:tcW w:w="7567" w:type="dxa"/>
            <w:tcBorders>
              <w:bottom w:val="single" w:sz="4" w:space="0" w:color="auto"/>
            </w:tcBorders>
          </w:tcPr>
          <w:p w:rsidR="008E4AF7" w:rsidRDefault="00C538A3" w:rsidP="0040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Keine Änderungen vornehmen </w:t>
            </w:r>
          </w:p>
          <w:p w:rsidR="00404A14" w:rsidRDefault="00404A14" w:rsidP="0040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275" w:rsidRDefault="0041427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9"/>
        <w:gridCol w:w="7304"/>
      </w:tblGrid>
      <w:tr w:rsidR="00C538A3" w:rsidRPr="0075333D" w:rsidTr="00C538A3">
        <w:tc>
          <w:tcPr>
            <w:tcW w:w="2286" w:type="dxa"/>
          </w:tcPr>
          <w:p w:rsidR="00C538A3" w:rsidRPr="0075333D" w:rsidRDefault="00C538A3" w:rsidP="00C538A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Bezeichnung</w:t>
            </w: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des Blattes</w:t>
            </w:r>
          </w:p>
        </w:tc>
        <w:tc>
          <w:tcPr>
            <w:tcW w:w="7567" w:type="dxa"/>
          </w:tcPr>
          <w:p w:rsidR="00C538A3" w:rsidRPr="0075333D" w:rsidRDefault="00C538A3" w:rsidP="00C2382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t>Beschreibung</w:t>
            </w:r>
            <w:r w:rsidR="003B26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der Datei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„Abwassergebühren“</w:t>
            </w:r>
          </w:p>
        </w:tc>
      </w:tr>
      <w:tr w:rsidR="00C538A3" w:rsidTr="00CA1862">
        <w:tc>
          <w:tcPr>
            <w:tcW w:w="2286" w:type="dxa"/>
          </w:tcPr>
          <w:p w:rsidR="00E01DC3" w:rsidRDefault="00DD2C96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C538A3" w:rsidRPr="0075333D" w:rsidRDefault="00C538A3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t>Nachkalkulation</w:t>
            </w:r>
          </w:p>
        </w:tc>
        <w:tc>
          <w:tcPr>
            <w:tcW w:w="7567" w:type="dxa"/>
          </w:tcPr>
          <w:p w:rsidR="00C538A3" w:rsidRDefault="00C538A3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Keine Änderungen vornehmen</w:t>
            </w:r>
          </w:p>
          <w:p w:rsidR="00414275" w:rsidRDefault="00414275" w:rsidP="00CA186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8A3" w:rsidTr="00CA1862">
        <w:tc>
          <w:tcPr>
            <w:tcW w:w="2286" w:type="dxa"/>
          </w:tcPr>
          <w:p w:rsidR="00DD2C96" w:rsidRDefault="00DD2C96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C538A3" w:rsidRPr="0075333D" w:rsidRDefault="00C538A3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33D">
              <w:rPr>
                <w:rFonts w:ascii="Times New Roman" w:hAnsi="Times New Roman" w:cs="Times New Roman"/>
                <w:b/>
                <w:sz w:val="28"/>
                <w:szCs w:val="28"/>
              </w:rPr>
              <w:t>Vorkalkulation</w:t>
            </w:r>
          </w:p>
        </w:tc>
        <w:tc>
          <w:tcPr>
            <w:tcW w:w="7567" w:type="dxa"/>
          </w:tcPr>
          <w:p w:rsidR="00C538A3" w:rsidRDefault="00C538A3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Keine Änderungen vornehmen</w:t>
            </w:r>
          </w:p>
          <w:p w:rsidR="00414275" w:rsidRDefault="0041427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8A3" w:rsidTr="00C538A3">
        <w:tc>
          <w:tcPr>
            <w:tcW w:w="2286" w:type="dxa"/>
          </w:tcPr>
          <w:p w:rsidR="00DD2C96" w:rsidRDefault="00DD2C96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C538A3" w:rsidRPr="0075333D" w:rsidRDefault="00C538A3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Grunddaten</w:t>
            </w:r>
          </w:p>
        </w:tc>
        <w:tc>
          <w:tcPr>
            <w:tcW w:w="7567" w:type="dxa"/>
          </w:tcPr>
          <w:p w:rsidR="005C6B4E" w:rsidRPr="005C6B4E" w:rsidRDefault="005C6B4E" w:rsidP="006E27EF">
            <w:pPr>
              <w:pStyle w:val="Listenabsatz"/>
              <w:numPr>
                <w:ilvl w:val="0"/>
                <w:numId w:val="16"/>
              </w:numPr>
              <w:spacing w:after="120"/>
              <w:ind w:hanging="357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Unter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Ziff. 2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sind grundsätzlich keine Änderungen vorz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nehmen, es sei denn die Berechnungsweise soll umgestellt werden (Einbezug der Abschreibungen auf Zuwendungen, Abschreibungen aus den Wiederbeschaffungszeitwerten bzw. Umstellung der Berechnungsart).  </w:t>
            </w:r>
          </w:p>
          <w:p w:rsidR="005C6B4E" w:rsidRPr="005C6B4E" w:rsidRDefault="005C6B4E" w:rsidP="006E27EF">
            <w:pPr>
              <w:pStyle w:val="Listenabsatz"/>
              <w:numPr>
                <w:ilvl w:val="0"/>
                <w:numId w:val="16"/>
              </w:numPr>
              <w:spacing w:after="120"/>
              <w:ind w:hanging="357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Unter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Ziff. 3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können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Zinssätze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FAD">
              <w:rPr>
                <w:rFonts w:ascii="Times New Roman" w:hAnsi="Times New Roman" w:cs="Times New Roman"/>
                <w:sz w:val="28"/>
                <w:szCs w:val="28"/>
              </w:rPr>
              <w:t>geändert werden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D2C96" w:rsidRDefault="00DD2C96" w:rsidP="00414275">
            <w:pPr>
              <w:pStyle w:val="Listenabsatz"/>
              <w:numPr>
                <w:ilvl w:val="0"/>
                <w:numId w:val="16"/>
              </w:numPr>
              <w:ind w:hanging="357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D">
              <w:rPr>
                <w:rFonts w:ascii="Times New Roman" w:hAnsi="Times New Roman" w:cs="Times New Roman"/>
                <w:b/>
                <w:sz w:val="28"/>
                <w:szCs w:val="28"/>
              </w:rPr>
              <w:t>Vor der endgültigen Erstellung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der neuen Kalkulation </w:t>
            </w:r>
          </w:p>
          <w:p w:rsidR="005C6B4E" w:rsidRDefault="00DD2C96" w:rsidP="00FA09D0">
            <w:pPr>
              <w:pStyle w:val="Listenabsatz"/>
              <w:numPr>
                <w:ilvl w:val="1"/>
                <w:numId w:val="16"/>
              </w:numPr>
              <w:ind w:left="87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Unter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Ziff. 4b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sind 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>bei</w:t>
            </w:r>
            <w:r w:rsidR="005C6B4E"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Berechnung </w:t>
            </w:r>
            <w:r w:rsidR="005C6B4E" w:rsidRPr="00D1646A">
              <w:rPr>
                <w:rFonts w:ascii="Times New Roman" w:hAnsi="Times New Roman" w:cs="Times New Roman"/>
                <w:b/>
                <w:sz w:val="28"/>
                <w:szCs w:val="28"/>
              </w:rPr>
              <w:t>einheitlicher A</w:t>
            </w:r>
            <w:r w:rsidR="005C6B4E" w:rsidRPr="00D1646A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5C6B4E" w:rsidRPr="00D1646A">
              <w:rPr>
                <w:rFonts w:ascii="Times New Roman" w:hAnsi="Times New Roman" w:cs="Times New Roman"/>
                <w:b/>
                <w:sz w:val="28"/>
                <w:szCs w:val="28"/>
              </w:rPr>
              <w:t>wassergebühren nach dem modifizierten Frisc</w:t>
            </w:r>
            <w:r w:rsidR="005C6B4E" w:rsidRPr="00D1646A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5C6B4E" w:rsidRPr="00D1646A">
              <w:rPr>
                <w:rFonts w:ascii="Times New Roman" w:hAnsi="Times New Roman" w:cs="Times New Roman"/>
                <w:b/>
                <w:sz w:val="28"/>
                <w:szCs w:val="28"/>
              </w:rPr>
              <w:t>wassermaßstab</w:t>
            </w:r>
            <w:r w:rsidR="005C6B4E"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die </w:t>
            </w:r>
            <w:r w:rsidR="005C6B4E" w:rsidRPr="006E27EF">
              <w:rPr>
                <w:rFonts w:ascii="Times New Roman" w:hAnsi="Times New Roman" w:cs="Times New Roman"/>
                <w:sz w:val="28"/>
                <w:szCs w:val="28"/>
              </w:rPr>
              <w:t>voraussichtlichen Abwasserme</w:t>
            </w:r>
            <w:r w:rsidR="005C6B4E" w:rsidRPr="006E27E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C6B4E" w:rsidRPr="006E27EF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="005C6B4E"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für den Vorkalkulationszeitraum einzutragen.</w:t>
            </w:r>
          </w:p>
          <w:p w:rsidR="00660605" w:rsidRDefault="00660605" w:rsidP="00FA09D0">
            <w:pPr>
              <w:pStyle w:val="Listenabsatz"/>
              <w:numPr>
                <w:ilvl w:val="1"/>
                <w:numId w:val="16"/>
              </w:numPr>
              <w:spacing w:after="120"/>
              <w:ind w:left="87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Unter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Ziff. 4a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sind bei Berechnung </w:t>
            </w:r>
            <w:r w:rsidRPr="006E27EF">
              <w:rPr>
                <w:rFonts w:ascii="Times New Roman" w:hAnsi="Times New Roman" w:cs="Times New Roman"/>
                <w:b/>
                <w:sz w:val="28"/>
                <w:szCs w:val="28"/>
              </w:rPr>
              <w:t>gesplitteter A</w:t>
            </w:r>
            <w:r w:rsidRPr="006E27EF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6E27EF">
              <w:rPr>
                <w:rFonts w:ascii="Times New Roman" w:hAnsi="Times New Roman" w:cs="Times New Roman"/>
                <w:b/>
                <w:sz w:val="28"/>
                <w:szCs w:val="28"/>
              </w:rPr>
              <w:t>wassergebühren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die 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voraussichtlichen Abwasserme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27EF">
              <w:rPr>
                <w:rFonts w:ascii="Times New Roman" w:hAnsi="Times New Roman" w:cs="Times New Roman"/>
                <w:sz w:val="28"/>
                <w:szCs w:val="28"/>
              </w:rPr>
              <w:t>gen und die befestigen Flächen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 für den Vorkalkulat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onszeitraum einzutragen. </w:t>
            </w:r>
            <w:r w:rsidR="00FA0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Dies entfällt, wenn die Berechnung der Gebühren en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 xml:space="preserve">sprechend </w:t>
            </w:r>
            <w:r w:rsidR="00DD2C9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5C6B4E">
              <w:rPr>
                <w:rFonts w:ascii="Times New Roman" w:hAnsi="Times New Roman" w:cs="Times New Roman"/>
                <w:sz w:val="28"/>
                <w:szCs w:val="28"/>
              </w:rPr>
              <w:t>) erfolgt.</w:t>
            </w:r>
          </w:p>
          <w:p w:rsidR="00994FAD" w:rsidRPr="005C6B4E" w:rsidRDefault="00994FAD" w:rsidP="00FA09D0">
            <w:pPr>
              <w:pStyle w:val="Listenabsatz"/>
              <w:numPr>
                <w:ilvl w:val="1"/>
                <w:numId w:val="16"/>
              </w:numPr>
              <w:spacing w:after="120"/>
              <w:ind w:left="87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Das Gleiche gilt für den Vortrag des Gesamtgebühre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aufkommens unter Ziff. </w:t>
            </w:r>
            <w:r w:rsidR="00515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538A3" w:rsidRDefault="00C538A3" w:rsidP="00CC7E1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8A3" w:rsidTr="00C538A3">
        <w:tc>
          <w:tcPr>
            <w:tcW w:w="2286" w:type="dxa"/>
          </w:tcPr>
          <w:p w:rsidR="00DD2C96" w:rsidRDefault="00DD2C96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Blatt:</w:t>
            </w:r>
          </w:p>
          <w:p w:rsidR="00C538A3" w:rsidRPr="0075333D" w:rsidRDefault="00D1646A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Verteilerschl</w:t>
            </w:r>
            <w:proofErr w:type="spellEnd"/>
          </w:p>
        </w:tc>
        <w:tc>
          <w:tcPr>
            <w:tcW w:w="7567" w:type="dxa"/>
          </w:tcPr>
          <w:p w:rsidR="00D1646A" w:rsidRPr="00D1646A" w:rsidRDefault="00D1646A" w:rsidP="00D1646A">
            <w:pPr>
              <w:spacing w:after="1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1646A">
              <w:rPr>
                <w:rFonts w:ascii="Times New Roman" w:hAnsi="Times New Roman" w:cs="Times New Roman"/>
                <w:sz w:val="28"/>
                <w:szCs w:val="28"/>
              </w:rPr>
              <w:t>Im Blatt „</w:t>
            </w:r>
            <w:proofErr w:type="spellStart"/>
            <w:r w:rsidRPr="00D1646A">
              <w:rPr>
                <w:rFonts w:ascii="Times New Roman" w:hAnsi="Times New Roman" w:cs="Times New Roman"/>
                <w:sz w:val="28"/>
                <w:szCs w:val="28"/>
              </w:rPr>
              <w:t>Verteilerschl</w:t>
            </w:r>
            <w:proofErr w:type="spellEnd"/>
            <w:r w:rsidRPr="00D1646A">
              <w:rPr>
                <w:rFonts w:ascii="Times New Roman" w:hAnsi="Times New Roman" w:cs="Times New Roman"/>
                <w:sz w:val="28"/>
                <w:szCs w:val="28"/>
              </w:rPr>
              <w:t xml:space="preserve">“ sind die </w:t>
            </w:r>
            <w:r w:rsidR="00FA09D0">
              <w:rPr>
                <w:rFonts w:ascii="Times New Roman" w:hAnsi="Times New Roman" w:cs="Times New Roman"/>
                <w:sz w:val="28"/>
                <w:szCs w:val="28"/>
              </w:rPr>
              <w:t>Kostenv</w:t>
            </w:r>
            <w:r w:rsidRPr="00D1646A">
              <w:rPr>
                <w:rFonts w:ascii="Times New Roman" w:hAnsi="Times New Roman" w:cs="Times New Roman"/>
                <w:sz w:val="28"/>
                <w:szCs w:val="28"/>
              </w:rPr>
              <w:t xml:space="preserve">erteilerschlüssel, wie in der vorausgehenden Kalkulation, grundsätzlich zu belassen. </w:t>
            </w:r>
          </w:p>
          <w:p w:rsidR="00C538A3" w:rsidRDefault="00C538A3" w:rsidP="00CC7E1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6A" w:rsidTr="00CA1862">
        <w:tc>
          <w:tcPr>
            <w:tcW w:w="2286" w:type="dxa"/>
          </w:tcPr>
          <w:p w:rsidR="00DD2C96" w:rsidRDefault="00DD2C96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Blatt</w:t>
            </w:r>
          </w:p>
          <w:p w:rsidR="00D1646A" w:rsidRPr="0075333D" w:rsidRDefault="00D1646A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Grundgebuehren</w:t>
            </w:r>
            <w:proofErr w:type="spellEnd"/>
          </w:p>
        </w:tc>
        <w:tc>
          <w:tcPr>
            <w:tcW w:w="7567" w:type="dxa"/>
          </w:tcPr>
          <w:p w:rsidR="00414275" w:rsidRDefault="0066060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Änderungen sind erst vorzunehmen</w:t>
            </w:r>
            <w:r w:rsidR="00265BCC">
              <w:rPr>
                <w:rFonts w:ascii="Times New Roman" w:hAnsi="Times New Roman" w:cs="Times New Roman"/>
                <w:sz w:val="28"/>
                <w:szCs w:val="28"/>
              </w:rPr>
              <w:t xml:space="preserve">, bevor die neu angelegte Vorauskalkulation </w:t>
            </w:r>
            <w:r w:rsidR="00DD2C96">
              <w:rPr>
                <w:rFonts w:ascii="Times New Roman" w:hAnsi="Times New Roman" w:cs="Times New Roman"/>
                <w:sz w:val="28"/>
                <w:szCs w:val="28"/>
              </w:rPr>
              <w:t>erstellt</w:t>
            </w:r>
            <w:r w:rsidR="00265BCC">
              <w:rPr>
                <w:rFonts w:ascii="Times New Roman" w:hAnsi="Times New Roman" w:cs="Times New Roman"/>
                <w:sz w:val="28"/>
                <w:szCs w:val="28"/>
              </w:rPr>
              <w:t xml:space="preserve"> wird und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sich die Anzahl der Zähler im neuen </w:t>
            </w:r>
            <w:r w:rsidRPr="00E03FB1"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kalkulationszeitraum ändert.</w:t>
            </w:r>
          </w:p>
          <w:p w:rsidR="00D1646A" w:rsidRDefault="00D1646A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46A" w:rsidTr="00CA1862">
        <w:tc>
          <w:tcPr>
            <w:tcW w:w="2286" w:type="dxa"/>
          </w:tcPr>
          <w:p w:rsidR="004A1E1D" w:rsidRDefault="004A1E1D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D1646A" w:rsidRPr="0075333D" w:rsidRDefault="00D1646A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Betriebskosten</w:t>
            </w:r>
          </w:p>
        </w:tc>
        <w:tc>
          <w:tcPr>
            <w:tcW w:w="7567" w:type="dxa"/>
          </w:tcPr>
          <w:p w:rsidR="006E362F" w:rsidRPr="008E4AF7" w:rsidRDefault="006E362F" w:rsidP="006E362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Im Blatt „Betriebskosten“ wurden mit der Eingabe des neuen Berechnungszeitraumes die Berechnungsjahre automatisch umgestellt, während die alten Eintragungen (in den orangen Zellen) stehen geblieben sind.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Es müssen somit die Einnahmen und Ausgaben (orangen Ze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len)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der einzelnen Jahre gelöscht bzw. mit den tatsächlichen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Beträgen, die sich aus der Jahresrechnung </w:t>
            </w:r>
            <w:r w:rsidR="00FA09D0">
              <w:rPr>
                <w:rFonts w:ascii="Times New Roman" w:hAnsi="Times New Roman" w:cs="Times New Roman"/>
                <w:sz w:val="28"/>
                <w:szCs w:val="28"/>
              </w:rPr>
              <w:t xml:space="preserve">des betreffenden Jahres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ergeben, überschrieben werden.</w:t>
            </w:r>
          </w:p>
          <w:p w:rsidR="00D1646A" w:rsidRDefault="00D1646A" w:rsidP="00CA186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46A" w:rsidTr="00CA1862">
        <w:tc>
          <w:tcPr>
            <w:tcW w:w="2286" w:type="dxa"/>
          </w:tcPr>
          <w:p w:rsidR="004A1E1D" w:rsidRDefault="004A1E1D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In den Blättern</w:t>
            </w:r>
          </w:p>
          <w:p w:rsidR="00D1646A" w:rsidRPr="0075333D" w:rsidRDefault="00D1646A" w:rsidP="00CA1862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Anlagegueter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Beiträge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Zuwendungen</w:t>
            </w:r>
          </w:p>
        </w:tc>
        <w:tc>
          <w:tcPr>
            <w:tcW w:w="7567" w:type="dxa"/>
          </w:tcPr>
          <w:p w:rsidR="00781787" w:rsidRDefault="00A1272F" w:rsidP="0078178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Mit der Eingabe des neuen Berechnungszeitraumes werden für die Anlagegüter, Beiträge und Zuwendungen automatisch  die neuen Abschreibungen und neuen Restbeträge für den Nac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kalkulations- und Vorkalkulationszeitraum berechnet und  in die Blätter „Nachkalkulation“ und „Vorkalkulation“ übe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nommen.</w:t>
            </w:r>
          </w:p>
          <w:p w:rsidR="00D1646A" w:rsidRDefault="00136A22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diesen Blättern sind somit für die Nachkalkulationsjahre nur die </w:t>
            </w:r>
            <w:r w:rsidRPr="00ED1CCC">
              <w:rPr>
                <w:rFonts w:ascii="Times New Roman" w:hAnsi="Times New Roman" w:cs="Times New Roman"/>
                <w:b/>
                <w:sz w:val="28"/>
                <w:szCs w:val="28"/>
              </w:rPr>
              <w:t>neu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angeschafften Anlagegüter, </w:t>
            </w:r>
            <w:r w:rsidRPr="00ED1CCC">
              <w:rPr>
                <w:rFonts w:ascii="Times New Roman" w:hAnsi="Times New Roman" w:cs="Times New Roman"/>
                <w:b/>
                <w:sz w:val="28"/>
                <w:szCs w:val="28"/>
              </w:rPr>
              <w:t>neu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eingegangenen 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träge und Zuwendungen zu </w:t>
            </w:r>
            <w:r w:rsidRPr="006E362F">
              <w:rPr>
                <w:rFonts w:ascii="Times New Roman" w:hAnsi="Times New Roman" w:cs="Times New Roman"/>
                <w:b/>
                <w:sz w:val="28"/>
                <w:szCs w:val="28"/>
              </w:rPr>
              <w:t>ergänzen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Ferner sind für den Vorkalkulationszeitraum die Zukunftsi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vestitionen, die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raussichtlichen Beiträge und Zuwendungen vorzutragen.</w:t>
            </w:r>
          </w:p>
          <w:p w:rsidR="00414275" w:rsidRDefault="00414275" w:rsidP="0041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8A3" w:rsidTr="00C538A3">
        <w:tc>
          <w:tcPr>
            <w:tcW w:w="2286" w:type="dxa"/>
          </w:tcPr>
          <w:p w:rsidR="004A1E1D" w:rsidRDefault="004A1E1D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C538A3" w:rsidRDefault="00D1646A" w:rsidP="00B923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AZV</w:t>
            </w:r>
          </w:p>
          <w:p w:rsidR="004A1E1D" w:rsidRPr="004A1E1D" w:rsidRDefault="004A1E1D" w:rsidP="00B9235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(nur zutreffend, falls Gemeinde einen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wasserzweckverband angeschlossen ist)</w:t>
            </w:r>
          </w:p>
        </w:tc>
        <w:tc>
          <w:tcPr>
            <w:tcW w:w="7567" w:type="dxa"/>
          </w:tcPr>
          <w:p w:rsidR="006E362F" w:rsidRDefault="00404A14" w:rsidP="002A6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Im Blatt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AZV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“ wurden mit der Eingabe des neuen Berec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nungszeitraumes die Berechnungsjahre automatisch umg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stellt, während die alten Eintragungen (in den orangen Zellen) stehen geblieben sind. </w:t>
            </w:r>
          </w:p>
          <w:p w:rsidR="006E362F" w:rsidRPr="008E4AF7" w:rsidRDefault="006E362F" w:rsidP="006E362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Es müssen somit 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>die Eintragungen der kalkulatorischen Kosten und die Zinssätze</w:t>
            </w:r>
            <w:r w:rsidRPr="008E4AF7">
              <w:rPr>
                <w:rFonts w:ascii="Times New Roman" w:hAnsi="Times New Roman" w:cs="Times New Roman"/>
                <w:sz w:val="28"/>
                <w:szCs w:val="28"/>
              </w:rPr>
              <w:t xml:space="preserve"> (orangen Zellen)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der einzelnen Jahre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löscht bzw. mit den tatsächlichen Beträgen, die sich aus der 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 xml:space="preserve">Mitteilung des AZV </w:t>
            </w:r>
            <w:r w:rsidR="005152CA">
              <w:rPr>
                <w:rFonts w:ascii="Times New Roman" w:hAnsi="Times New Roman" w:cs="Times New Roman"/>
                <w:sz w:val="28"/>
                <w:szCs w:val="28"/>
              </w:rPr>
              <w:t xml:space="preserve">bezüglich der berechneten 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>kalkulator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03C2D">
              <w:rPr>
                <w:rFonts w:ascii="Times New Roman" w:hAnsi="Times New Roman" w:cs="Times New Roman"/>
                <w:sz w:val="28"/>
                <w:szCs w:val="28"/>
              </w:rPr>
              <w:t>schen Kosten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ergeben, überschrieben werden.</w:t>
            </w:r>
          </w:p>
          <w:p w:rsidR="00C538A3" w:rsidRDefault="00C538A3" w:rsidP="002A6E1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A33" w:rsidTr="00B460C3">
        <w:tc>
          <w:tcPr>
            <w:tcW w:w="2286" w:type="dxa"/>
          </w:tcPr>
          <w:p w:rsidR="004A1E1D" w:rsidRDefault="004A1E1D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9A4A33" w:rsidRPr="0075333D" w:rsidRDefault="009A4A33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Preisindex</w:t>
            </w:r>
          </w:p>
        </w:tc>
        <w:tc>
          <w:tcPr>
            <w:tcW w:w="7567" w:type="dxa"/>
          </w:tcPr>
          <w:p w:rsidR="009A4A33" w:rsidRDefault="009A4A33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Nur wenn Abschreibungen nach Wiederbeschaffungswerten ermittelt werden, sind jährlich die neuen Indexzahlen zu 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gänzen.</w:t>
            </w:r>
          </w:p>
          <w:p w:rsidR="009A4A33" w:rsidRDefault="009A4A33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A33" w:rsidTr="00BD6B8A">
        <w:tc>
          <w:tcPr>
            <w:tcW w:w="2286" w:type="dxa"/>
          </w:tcPr>
          <w:p w:rsidR="004A1E1D" w:rsidRDefault="004A1E1D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9A4A33" w:rsidRPr="0075333D" w:rsidRDefault="009A4A33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Verzinsung</w:t>
            </w:r>
          </w:p>
        </w:tc>
        <w:tc>
          <w:tcPr>
            <w:tcW w:w="7567" w:type="dxa"/>
          </w:tcPr>
          <w:p w:rsidR="009A4A33" w:rsidRDefault="009A4A33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Keine Änderungen vornehmen </w:t>
            </w:r>
          </w:p>
          <w:p w:rsidR="009A4A33" w:rsidRDefault="009A4A33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B8A" w:rsidTr="00B460C3">
        <w:tc>
          <w:tcPr>
            <w:tcW w:w="2286" w:type="dxa"/>
            <w:tcBorders>
              <w:bottom w:val="single" w:sz="4" w:space="0" w:color="auto"/>
            </w:tcBorders>
          </w:tcPr>
          <w:p w:rsidR="00BD6B8A" w:rsidRDefault="00BD6B8A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 Blatt</w:t>
            </w:r>
          </w:p>
          <w:p w:rsidR="00BD6B8A" w:rsidRDefault="00BD6B8A" w:rsidP="00B460C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Kontrolle-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Zuordn</w:t>
            </w:r>
            <w:proofErr w:type="spellEnd"/>
          </w:p>
        </w:tc>
        <w:tc>
          <w:tcPr>
            <w:tcW w:w="7567" w:type="dxa"/>
            <w:tcBorders>
              <w:bottom w:val="single" w:sz="4" w:space="0" w:color="auto"/>
            </w:tcBorders>
          </w:tcPr>
          <w:p w:rsidR="00BD6B8A" w:rsidRDefault="00BD6B8A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Keine Änderungen vornehmen </w:t>
            </w:r>
          </w:p>
          <w:p w:rsidR="00BD6B8A" w:rsidRDefault="00BD6B8A" w:rsidP="00B46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33D" w:rsidRDefault="0075333D" w:rsidP="00B9235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36A22" w:rsidRDefault="00136A22" w:rsidP="00B9235A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Aiging</w:t>
      </w:r>
      <w:proofErr w:type="spellEnd"/>
      <w:r>
        <w:rPr>
          <w:rFonts w:ascii="Times New Roman" w:hAnsi="Times New Roman" w:cs="Times New Roman"/>
          <w:sz w:val="28"/>
          <w:szCs w:val="28"/>
        </w:rPr>
        <w:t>, den 15.08.2017</w:t>
      </w:r>
    </w:p>
    <w:p w:rsidR="00136A22" w:rsidRPr="0075333D" w:rsidRDefault="00136A22" w:rsidP="00B9235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Josef Beer</w:t>
      </w:r>
      <w:bookmarkStart w:id="0" w:name="_GoBack"/>
      <w:bookmarkEnd w:id="0"/>
    </w:p>
    <w:sectPr w:rsidR="00136A22" w:rsidRPr="0075333D" w:rsidSect="00136A22">
      <w:pgSz w:w="11906" w:h="16838" w:code="9"/>
      <w:pgMar w:top="1418" w:right="851" w:bottom="907" w:left="1418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41CC"/>
    <w:multiLevelType w:val="hybridMultilevel"/>
    <w:tmpl w:val="CC3478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C72AF"/>
    <w:multiLevelType w:val="hybridMultilevel"/>
    <w:tmpl w:val="E74262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535EF"/>
    <w:multiLevelType w:val="hybridMultilevel"/>
    <w:tmpl w:val="91F01A54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F5E9A"/>
    <w:multiLevelType w:val="multilevel"/>
    <w:tmpl w:val="3FDEB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59C668C"/>
    <w:multiLevelType w:val="hybridMultilevel"/>
    <w:tmpl w:val="A0AC5110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D7501"/>
    <w:multiLevelType w:val="hybridMultilevel"/>
    <w:tmpl w:val="1242F252"/>
    <w:lvl w:ilvl="0" w:tplc="CBD434B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69547B"/>
    <w:multiLevelType w:val="multilevel"/>
    <w:tmpl w:val="9314D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98309C8"/>
    <w:multiLevelType w:val="hybridMultilevel"/>
    <w:tmpl w:val="E26AB20C"/>
    <w:lvl w:ilvl="0" w:tplc="CBD434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96924"/>
    <w:multiLevelType w:val="hybridMultilevel"/>
    <w:tmpl w:val="C298BA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C2A53"/>
    <w:multiLevelType w:val="hybridMultilevel"/>
    <w:tmpl w:val="D0805D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331FA9"/>
    <w:multiLevelType w:val="hybridMultilevel"/>
    <w:tmpl w:val="7A5EDCB2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7F7589"/>
    <w:multiLevelType w:val="hybridMultilevel"/>
    <w:tmpl w:val="44B43FBE"/>
    <w:lvl w:ilvl="0" w:tplc="D75A4EE6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8E0E1D"/>
    <w:multiLevelType w:val="hybridMultilevel"/>
    <w:tmpl w:val="3BE8BB6C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B0F05"/>
    <w:multiLevelType w:val="hybridMultilevel"/>
    <w:tmpl w:val="C32263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53F28"/>
    <w:multiLevelType w:val="multilevel"/>
    <w:tmpl w:val="43D6F8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D3114F6"/>
    <w:multiLevelType w:val="hybridMultilevel"/>
    <w:tmpl w:val="BCF469A0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47AD4"/>
    <w:multiLevelType w:val="hybridMultilevel"/>
    <w:tmpl w:val="395E547C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1C53843"/>
    <w:multiLevelType w:val="multilevel"/>
    <w:tmpl w:val="43D6F8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DE9734B"/>
    <w:multiLevelType w:val="hybridMultilevel"/>
    <w:tmpl w:val="9F6C6C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91A09"/>
    <w:multiLevelType w:val="multilevel"/>
    <w:tmpl w:val="43D6F8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BA91415"/>
    <w:multiLevelType w:val="hybridMultilevel"/>
    <w:tmpl w:val="8B42FB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9B6DD3"/>
    <w:multiLevelType w:val="hybridMultilevel"/>
    <w:tmpl w:val="6E5C18DC"/>
    <w:lvl w:ilvl="0" w:tplc="7D0CC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C3B49"/>
    <w:multiLevelType w:val="hybridMultilevel"/>
    <w:tmpl w:val="552835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C5150"/>
    <w:multiLevelType w:val="hybridMultilevel"/>
    <w:tmpl w:val="7138D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A0DFB"/>
    <w:multiLevelType w:val="hybridMultilevel"/>
    <w:tmpl w:val="06DA3FC6"/>
    <w:lvl w:ilvl="0" w:tplc="655E5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6A6ECC"/>
    <w:multiLevelType w:val="hybridMultilevel"/>
    <w:tmpl w:val="AED83E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073938"/>
    <w:multiLevelType w:val="hybridMultilevel"/>
    <w:tmpl w:val="9FBC82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D62A47"/>
    <w:multiLevelType w:val="hybridMultilevel"/>
    <w:tmpl w:val="2EE0AD4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2174F0"/>
    <w:multiLevelType w:val="hybridMultilevel"/>
    <w:tmpl w:val="E0AE2974"/>
    <w:lvl w:ilvl="0" w:tplc="CBD434B4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6756D1A2">
      <w:start w:val="1"/>
      <w:numFmt w:val="decimal"/>
      <w:lvlText w:val="%2)"/>
      <w:lvlJc w:val="left"/>
      <w:pPr>
        <w:ind w:left="720" w:hanging="360"/>
      </w:pPr>
      <w:rPr>
        <w:rFonts w:hint="default"/>
        <w:b/>
        <w:i w:val="0"/>
      </w:rPr>
    </w:lvl>
    <w:lvl w:ilvl="2" w:tplc="0407001B">
      <w:start w:val="1"/>
      <w:numFmt w:val="lowerRoman"/>
      <w:lvlText w:val="%3."/>
      <w:lvlJc w:val="right"/>
      <w:pPr>
        <w:ind w:left="1440" w:hanging="180"/>
      </w:pPr>
    </w:lvl>
    <w:lvl w:ilvl="3" w:tplc="0407000F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5E24545A"/>
    <w:multiLevelType w:val="hybridMultilevel"/>
    <w:tmpl w:val="A522AE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6505E0"/>
    <w:multiLevelType w:val="multilevel"/>
    <w:tmpl w:val="09F8C2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DF1E0F"/>
    <w:multiLevelType w:val="hybridMultilevel"/>
    <w:tmpl w:val="ACA00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A7AFF"/>
    <w:multiLevelType w:val="hybridMultilevel"/>
    <w:tmpl w:val="D32AB1E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186B87"/>
    <w:multiLevelType w:val="multilevel"/>
    <w:tmpl w:val="43D6F8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7C8C50C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5"/>
  </w:num>
  <w:num w:numId="2">
    <w:abstractNumId w:val="29"/>
  </w:num>
  <w:num w:numId="3">
    <w:abstractNumId w:val="8"/>
  </w:num>
  <w:num w:numId="4">
    <w:abstractNumId w:val="14"/>
  </w:num>
  <w:num w:numId="5">
    <w:abstractNumId w:val="28"/>
  </w:num>
  <w:num w:numId="6">
    <w:abstractNumId w:val="17"/>
  </w:num>
  <w:num w:numId="7">
    <w:abstractNumId w:val="33"/>
  </w:num>
  <w:num w:numId="8">
    <w:abstractNumId w:val="19"/>
  </w:num>
  <w:num w:numId="9">
    <w:abstractNumId w:val="30"/>
  </w:num>
  <w:num w:numId="10">
    <w:abstractNumId w:val="6"/>
  </w:num>
  <w:num w:numId="11">
    <w:abstractNumId w:val="23"/>
  </w:num>
  <w:num w:numId="12">
    <w:abstractNumId w:val="11"/>
  </w:num>
  <w:num w:numId="13">
    <w:abstractNumId w:val="18"/>
  </w:num>
  <w:num w:numId="14">
    <w:abstractNumId w:val="20"/>
  </w:num>
  <w:num w:numId="15">
    <w:abstractNumId w:val="22"/>
  </w:num>
  <w:num w:numId="16">
    <w:abstractNumId w:val="9"/>
  </w:num>
  <w:num w:numId="17">
    <w:abstractNumId w:val="7"/>
  </w:num>
  <w:num w:numId="18">
    <w:abstractNumId w:val="27"/>
  </w:num>
  <w:num w:numId="19">
    <w:abstractNumId w:val="32"/>
  </w:num>
  <w:num w:numId="20">
    <w:abstractNumId w:val="12"/>
  </w:num>
  <w:num w:numId="21">
    <w:abstractNumId w:val="15"/>
  </w:num>
  <w:num w:numId="22">
    <w:abstractNumId w:val="21"/>
  </w:num>
  <w:num w:numId="23">
    <w:abstractNumId w:val="4"/>
  </w:num>
  <w:num w:numId="24">
    <w:abstractNumId w:val="24"/>
  </w:num>
  <w:num w:numId="25">
    <w:abstractNumId w:val="2"/>
  </w:num>
  <w:num w:numId="26">
    <w:abstractNumId w:val="16"/>
  </w:num>
  <w:num w:numId="27">
    <w:abstractNumId w:val="10"/>
  </w:num>
  <w:num w:numId="28">
    <w:abstractNumId w:val="26"/>
  </w:num>
  <w:num w:numId="29">
    <w:abstractNumId w:val="31"/>
  </w:num>
  <w:num w:numId="30">
    <w:abstractNumId w:val="13"/>
  </w:num>
  <w:num w:numId="31">
    <w:abstractNumId w:val="1"/>
  </w:num>
  <w:num w:numId="32">
    <w:abstractNumId w:val="0"/>
  </w:num>
  <w:num w:numId="33">
    <w:abstractNumId w:val="34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6"/>
    <w:rsid w:val="00041855"/>
    <w:rsid w:val="000C0D78"/>
    <w:rsid w:val="000C3682"/>
    <w:rsid w:val="0010682D"/>
    <w:rsid w:val="00116190"/>
    <w:rsid w:val="00125E84"/>
    <w:rsid w:val="00136A22"/>
    <w:rsid w:val="00171906"/>
    <w:rsid w:val="001A65B1"/>
    <w:rsid w:val="001F72D3"/>
    <w:rsid w:val="00265BCC"/>
    <w:rsid w:val="002A6E1A"/>
    <w:rsid w:val="002D1E98"/>
    <w:rsid w:val="002D2A3A"/>
    <w:rsid w:val="002D50E0"/>
    <w:rsid w:val="00303746"/>
    <w:rsid w:val="00322535"/>
    <w:rsid w:val="003B2683"/>
    <w:rsid w:val="00404A14"/>
    <w:rsid w:val="00405A0A"/>
    <w:rsid w:val="004061A9"/>
    <w:rsid w:val="00414275"/>
    <w:rsid w:val="00415C67"/>
    <w:rsid w:val="004237BB"/>
    <w:rsid w:val="004528BE"/>
    <w:rsid w:val="00456AE3"/>
    <w:rsid w:val="004633F4"/>
    <w:rsid w:val="00487186"/>
    <w:rsid w:val="004A1E1D"/>
    <w:rsid w:val="004B647F"/>
    <w:rsid w:val="004C51FE"/>
    <w:rsid w:val="004C5A2B"/>
    <w:rsid w:val="004F18AB"/>
    <w:rsid w:val="00501D63"/>
    <w:rsid w:val="005152CA"/>
    <w:rsid w:val="005B1124"/>
    <w:rsid w:val="005B5D49"/>
    <w:rsid w:val="005C6B4E"/>
    <w:rsid w:val="005D0A40"/>
    <w:rsid w:val="005E14C6"/>
    <w:rsid w:val="005F3BD8"/>
    <w:rsid w:val="006376C4"/>
    <w:rsid w:val="00660605"/>
    <w:rsid w:val="00676C36"/>
    <w:rsid w:val="006920F2"/>
    <w:rsid w:val="006A52BD"/>
    <w:rsid w:val="006E27EF"/>
    <w:rsid w:val="006E362F"/>
    <w:rsid w:val="00703C2D"/>
    <w:rsid w:val="0075333D"/>
    <w:rsid w:val="00781787"/>
    <w:rsid w:val="007B5DD4"/>
    <w:rsid w:val="0084775C"/>
    <w:rsid w:val="00850E25"/>
    <w:rsid w:val="00876B6E"/>
    <w:rsid w:val="0088455A"/>
    <w:rsid w:val="0088585B"/>
    <w:rsid w:val="008862A9"/>
    <w:rsid w:val="00886FE8"/>
    <w:rsid w:val="008A7824"/>
    <w:rsid w:val="008D1C8E"/>
    <w:rsid w:val="008E4AF7"/>
    <w:rsid w:val="00926B1F"/>
    <w:rsid w:val="00994FAD"/>
    <w:rsid w:val="00997468"/>
    <w:rsid w:val="009A4A33"/>
    <w:rsid w:val="00A0598C"/>
    <w:rsid w:val="00A12487"/>
    <w:rsid w:val="00A1272F"/>
    <w:rsid w:val="00A1425B"/>
    <w:rsid w:val="00A26F11"/>
    <w:rsid w:val="00A32189"/>
    <w:rsid w:val="00A479B9"/>
    <w:rsid w:val="00A94C8E"/>
    <w:rsid w:val="00AE234C"/>
    <w:rsid w:val="00AF615D"/>
    <w:rsid w:val="00B20A69"/>
    <w:rsid w:val="00B3533A"/>
    <w:rsid w:val="00B9235A"/>
    <w:rsid w:val="00BA677E"/>
    <w:rsid w:val="00BB4E3D"/>
    <w:rsid w:val="00BD6B8A"/>
    <w:rsid w:val="00C175C9"/>
    <w:rsid w:val="00C23013"/>
    <w:rsid w:val="00C2382C"/>
    <w:rsid w:val="00C538A3"/>
    <w:rsid w:val="00CC0817"/>
    <w:rsid w:val="00CC1036"/>
    <w:rsid w:val="00CC7E18"/>
    <w:rsid w:val="00CE3D0E"/>
    <w:rsid w:val="00D1646A"/>
    <w:rsid w:val="00D17899"/>
    <w:rsid w:val="00D75FE6"/>
    <w:rsid w:val="00D915F3"/>
    <w:rsid w:val="00DD2C96"/>
    <w:rsid w:val="00DE0D28"/>
    <w:rsid w:val="00DE7FB1"/>
    <w:rsid w:val="00E01DC3"/>
    <w:rsid w:val="00E03FB1"/>
    <w:rsid w:val="00E05454"/>
    <w:rsid w:val="00E1510F"/>
    <w:rsid w:val="00E411E3"/>
    <w:rsid w:val="00E613D7"/>
    <w:rsid w:val="00E72CB9"/>
    <w:rsid w:val="00EA5D8E"/>
    <w:rsid w:val="00EB0FF4"/>
    <w:rsid w:val="00EC58E4"/>
    <w:rsid w:val="00ED1CCC"/>
    <w:rsid w:val="00EF5004"/>
    <w:rsid w:val="00F01453"/>
    <w:rsid w:val="00F846DA"/>
    <w:rsid w:val="00FA09D0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8718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6"/>
      <w:szCs w:val="24"/>
    </w:rPr>
  </w:style>
  <w:style w:type="paragraph" w:styleId="Listenabsatz">
    <w:name w:val="List Paragraph"/>
    <w:basedOn w:val="Standard"/>
    <w:uiPriority w:val="34"/>
    <w:qFormat/>
    <w:rsid w:val="00415C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20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48718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6"/>
      <w:szCs w:val="24"/>
    </w:rPr>
  </w:style>
  <w:style w:type="paragraph" w:styleId="Listenabsatz">
    <w:name w:val="List Paragraph"/>
    <w:basedOn w:val="Standard"/>
    <w:uiPriority w:val="34"/>
    <w:qFormat/>
    <w:rsid w:val="00415C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20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5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1293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17</cp:revision>
  <cp:lastPrinted>2017-02-13T09:08:00Z</cp:lastPrinted>
  <dcterms:created xsi:type="dcterms:W3CDTF">2017-06-21T06:44:00Z</dcterms:created>
  <dcterms:modified xsi:type="dcterms:W3CDTF">2017-09-03T15:06:00Z</dcterms:modified>
</cp:coreProperties>
</file>